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9F0B37" w:rsidRPr="007E2A3E">
        <w:rPr>
          <w:rFonts w:asciiTheme="majorEastAsia" w:eastAsiaTheme="majorEastAsia" w:hAnsiTheme="majorEastAsia" w:hint="eastAsia"/>
          <w:color w:val="000000"/>
          <w:szCs w:val="21"/>
        </w:rPr>
        <w:t>3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9F0B37" w:rsidRPr="007E2A3E">
        <w:rPr>
          <w:rFonts w:asciiTheme="majorEastAsia" w:eastAsiaTheme="majorEastAsia" w:hAnsiTheme="majorEastAsia" w:hint="eastAsia"/>
          <w:color w:val="000000"/>
          <w:szCs w:val="21"/>
        </w:rPr>
        <w:t>31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9F0B37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“乾元—满溢”30天开放式资产组合型人民币理财产品（机构版）于2017年8月18日正式成立。截至报告日，本产品规模为                                         </w:t>
      </w:r>
      <w:r w:rsidR="009F0B37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4,484,594,170.00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7E2A3E" w:rsidRPr="007E2A3E" w:rsidRDefault="007E2A3E" w:rsidP="007E2A3E">
      <w:pPr>
        <w:spacing w:line="5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sz w:val="28"/>
          <w:szCs w:val="28"/>
        </w:rPr>
        <w:t>中国建设银行于2018年3月5日（含）起，调整“乾元—满溢”30天开放式资产组合型人民币理财产品（机构版）客户</w:t>
      </w:r>
      <w:proofErr w:type="gramStart"/>
      <w:r w:rsidRPr="007E2A3E">
        <w:rPr>
          <w:rFonts w:asciiTheme="majorEastAsia" w:eastAsiaTheme="majorEastAsia" w:hAnsiTheme="majorEastAsia" w:hint="eastAsia"/>
          <w:sz w:val="28"/>
          <w:szCs w:val="28"/>
        </w:rPr>
        <w:t>预期年化收益率</w:t>
      </w:r>
      <w:proofErr w:type="gramEnd"/>
      <w:r w:rsidRPr="007E2A3E">
        <w:rPr>
          <w:rFonts w:asciiTheme="majorEastAsia" w:eastAsiaTheme="majorEastAsia" w:hAnsiTheme="majorEastAsia" w:hint="eastAsia"/>
          <w:sz w:val="28"/>
          <w:szCs w:val="28"/>
        </w:rPr>
        <w:t>，具体如下表：</w:t>
      </w:r>
    </w:p>
    <w:p w:rsidR="007E2A3E" w:rsidRPr="007E2A3E" w:rsidRDefault="007E2A3E" w:rsidP="007E2A3E">
      <w:pPr>
        <w:spacing w:line="5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155"/>
        <w:gridCol w:w="2409"/>
      </w:tblGrid>
      <w:tr w:rsidR="007E2A3E" w:rsidRPr="007E2A3E" w:rsidTr="007E2A3E">
        <w:trPr>
          <w:trHeight w:val="20"/>
          <w:tblHeader/>
          <w:jc w:val="center"/>
        </w:trPr>
        <w:tc>
          <w:tcPr>
            <w:tcW w:w="2643" w:type="dxa"/>
            <w:vAlign w:val="center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档期设置</w:t>
            </w:r>
          </w:p>
        </w:tc>
        <w:tc>
          <w:tcPr>
            <w:tcW w:w="2155" w:type="dxa"/>
            <w:vAlign w:val="center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客户</w:t>
            </w:r>
            <w:proofErr w:type="gramStart"/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预期年化收益率</w:t>
            </w:r>
            <w:proofErr w:type="gramEnd"/>
          </w:p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（调整前）</w:t>
            </w:r>
          </w:p>
        </w:tc>
        <w:tc>
          <w:tcPr>
            <w:tcW w:w="2409" w:type="dxa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客户</w:t>
            </w:r>
            <w:proofErr w:type="gramStart"/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预期年化收益率</w:t>
            </w:r>
            <w:proofErr w:type="gramEnd"/>
          </w:p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8"/>
              </w:rPr>
              <w:t>（调整后）</w:t>
            </w:r>
          </w:p>
        </w:tc>
      </w:tr>
      <w:tr w:rsidR="007E2A3E" w:rsidRPr="007E2A3E" w:rsidTr="007E2A3E">
        <w:trPr>
          <w:trHeight w:val="20"/>
          <w:jc w:val="center"/>
        </w:trPr>
        <w:tc>
          <w:tcPr>
            <w:tcW w:w="2643" w:type="dxa"/>
            <w:vAlign w:val="center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8"/>
              </w:rPr>
              <w:t>30天</w:t>
            </w:r>
          </w:p>
        </w:tc>
        <w:tc>
          <w:tcPr>
            <w:tcW w:w="2155" w:type="dxa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4.05%</w:t>
            </w:r>
          </w:p>
        </w:tc>
        <w:tc>
          <w:tcPr>
            <w:tcW w:w="2409" w:type="dxa"/>
            <w:hideMark/>
          </w:tcPr>
          <w:p w:rsidR="007E2A3E" w:rsidRPr="007E2A3E" w:rsidRDefault="007E2A3E" w:rsidP="006F340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7E2A3E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4.60%</w:t>
            </w:r>
          </w:p>
        </w:tc>
      </w:tr>
    </w:tbl>
    <w:p w:rsidR="007E2A3E" w:rsidRPr="007E2A3E" w:rsidRDefault="007E2A3E" w:rsidP="007E2A3E">
      <w:pPr>
        <w:spacing w:line="560" w:lineRule="exact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</w:p>
    <w:p w:rsidR="00AF60EC" w:rsidRDefault="007E2A3E" w:rsidP="00AF60EC">
      <w:pPr>
        <w:ind w:firstLineChars="200" w:firstLine="560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新客户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于</w:t>
      </w:r>
      <w:r w:rsidRPr="00AF60EC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（含）起执行。对于</w:t>
      </w:r>
      <w:r w:rsidRPr="00AF60EC">
        <w:rPr>
          <w:rFonts w:asciiTheme="majorEastAsia" w:eastAsiaTheme="majorEastAsia" w:hAnsiTheme="majorEastAsia" w:hint="eastAsia"/>
          <w:sz w:val="28"/>
          <w:szCs w:val="28"/>
        </w:rPr>
        <w:t>2018年3月5日（不含）</w:t>
      </w: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前已经购买成功且未赎回的存量投资本金，其中封闭期内的份额仍按照购买确认日当日的客户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计算投资收益，非封闭期内的份额从</w:t>
      </w:r>
      <w:r w:rsidRPr="00AF60EC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（含）起按调整后的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计算投资收益。</w:t>
      </w:r>
      <w:r w:rsidRPr="00AF60EC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（含）后购买的部分自动执行调整后的客户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行最终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支付的</w:t>
      </w:r>
      <w:proofErr w:type="gramStart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实际年化收益率</w:t>
      </w:r>
      <w:proofErr w:type="gramEnd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为准。</w:t>
      </w:r>
    </w:p>
    <w:p w:rsidR="00CA3281" w:rsidRPr="00AF60EC" w:rsidRDefault="00CA3281" w:rsidP="00AF60EC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bookmarkStart w:id="0" w:name="_GoBack"/>
      <w:bookmarkEnd w:id="0"/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</w:t>
      </w:r>
      <w:r w:rsidRPr="00AF60EC"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E60892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26F803" wp14:editId="0F4B9827">
            <wp:extent cx="3743325" cy="19621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Pr="007E2A3E" w:rsidRDefault="00E60892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CD3EC8" wp14:editId="2558C23C">
            <wp:extent cx="3857625" cy="2552700"/>
            <wp:effectExtent l="3810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</w:t>
      </w:r>
      <w:proofErr w:type="gramStart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比构成</w:t>
      </w:r>
      <w:proofErr w:type="gramEnd"/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及当月增减变化情况</w:t>
      </w:r>
    </w:p>
    <w:p w:rsidR="00CA3281" w:rsidRPr="007E2A3E" w:rsidRDefault="00E60892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97F576" wp14:editId="0885D798">
            <wp:extent cx="5229225" cy="276225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0537FE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E60892">
        <w:rPr>
          <w:rFonts w:asciiTheme="majorEastAsia" w:eastAsiaTheme="majorEastAsia" w:hAnsiTheme="majorEastAsia" w:hint="eastAsia"/>
          <w:color w:val="000000"/>
          <w:sz w:val="28"/>
          <w:szCs w:val="28"/>
        </w:rPr>
        <w:t>4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E60892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sectPr w:rsidR="00DA7CFC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E7" w:rsidRDefault="00DE60E7" w:rsidP="00CA3281">
      <w:r>
        <w:separator/>
      </w:r>
    </w:p>
  </w:endnote>
  <w:endnote w:type="continuationSeparator" w:id="0">
    <w:p w:rsidR="00DE60E7" w:rsidRDefault="00DE60E7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E7" w:rsidRDefault="00DE60E7" w:rsidP="00CA3281">
      <w:r>
        <w:separator/>
      </w:r>
    </w:p>
  </w:footnote>
  <w:footnote w:type="continuationSeparator" w:id="0">
    <w:p w:rsidR="00DE60E7" w:rsidRDefault="00DE60E7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537FE"/>
    <w:rsid w:val="000E0123"/>
    <w:rsid w:val="00121009"/>
    <w:rsid w:val="00153C80"/>
    <w:rsid w:val="00254C37"/>
    <w:rsid w:val="003537DE"/>
    <w:rsid w:val="003767F0"/>
    <w:rsid w:val="003E476B"/>
    <w:rsid w:val="004302D5"/>
    <w:rsid w:val="00646EE8"/>
    <w:rsid w:val="006475CF"/>
    <w:rsid w:val="006D00E4"/>
    <w:rsid w:val="00702240"/>
    <w:rsid w:val="007B0CC9"/>
    <w:rsid w:val="007D6A17"/>
    <w:rsid w:val="007E2A3E"/>
    <w:rsid w:val="00842413"/>
    <w:rsid w:val="008A0862"/>
    <w:rsid w:val="008C2A7F"/>
    <w:rsid w:val="008F76FC"/>
    <w:rsid w:val="009628BB"/>
    <w:rsid w:val="009D7C72"/>
    <w:rsid w:val="009F0B37"/>
    <w:rsid w:val="009F5360"/>
    <w:rsid w:val="00A27A60"/>
    <w:rsid w:val="00A66F45"/>
    <w:rsid w:val="00AA1CF9"/>
    <w:rsid w:val="00AD4A45"/>
    <w:rsid w:val="00AF44C7"/>
    <w:rsid w:val="00AF5D6B"/>
    <w:rsid w:val="00AF60EC"/>
    <w:rsid w:val="00C34EDD"/>
    <w:rsid w:val="00CA3281"/>
    <w:rsid w:val="00D1586B"/>
    <w:rsid w:val="00D94FDA"/>
    <w:rsid w:val="00DA7CFC"/>
    <w:rsid w:val="00DE1C0D"/>
    <w:rsid w:val="00DE60E7"/>
    <w:rsid w:val="00DF404F"/>
    <w:rsid w:val="00E20346"/>
    <w:rsid w:val="00E60892"/>
    <w:rsid w:val="00E84F1B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'2018年3月'!$A$123:$A$124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'2018年3月'!$B$123:$B$124</c:f>
              <c:numCache>
                <c:formatCode>0.00%</c:formatCode>
                <c:ptCount val="2"/>
                <c:pt idx="0">
                  <c:v>2.1951163584676324E-2</c:v>
                </c:pt>
                <c:pt idx="1">
                  <c:v>0.97804883641494766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'2018年3月'!$A$130:$A$135</c:f>
              <c:strCache>
                <c:ptCount val="6"/>
                <c:pt idx="0">
                  <c:v>无</c:v>
                </c:pt>
                <c:pt idx="1">
                  <c:v>AAA</c:v>
                </c:pt>
                <c:pt idx="2">
                  <c:v>AA+</c:v>
                </c:pt>
                <c:pt idx="3">
                  <c:v>AA-</c:v>
                </c:pt>
                <c:pt idx="4">
                  <c:v>AA</c:v>
                </c:pt>
                <c:pt idx="5">
                  <c:v>A+</c:v>
                </c:pt>
              </c:strCache>
            </c:strRef>
          </c:cat>
          <c:val>
            <c:numRef>
              <c:f>'2018年3月'!$B$130:$B$135</c:f>
              <c:numCache>
                <c:formatCode>0.00%</c:formatCode>
                <c:ptCount val="6"/>
                <c:pt idx="0">
                  <c:v>0.10511227921539323</c:v>
                </c:pt>
                <c:pt idx="1">
                  <c:v>0.17247604726255572</c:v>
                </c:pt>
                <c:pt idx="2">
                  <c:v>9.041319181269851E-2</c:v>
                </c:pt>
                <c:pt idx="3">
                  <c:v>0.41273622062496873</c:v>
                </c:pt>
                <c:pt idx="4">
                  <c:v>0.15145236722485994</c:v>
                </c:pt>
                <c:pt idx="5">
                  <c:v>6.7809893859523879E-2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892001204767436"/>
          <c:y val="5.057471264367816E-2"/>
          <c:w val="0.60253727846860672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'2018年3月'!$B$140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'2018年3月'!$A$141:$A$148</c:f>
              <c:strCache>
                <c:ptCount val="8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电力、热力、燃气及水生产和供应业</c:v>
                </c:pt>
                <c:pt idx="7">
                  <c:v>科学研究、技术服务和地质勘查业</c:v>
                </c:pt>
              </c:strCache>
            </c:strRef>
          </c:cat>
          <c:val>
            <c:numRef>
              <c:f>'2018年3月'!$B$141:$B$148</c:f>
              <c:numCache>
                <c:formatCode>0.00%</c:formatCode>
                <c:ptCount val="8"/>
                <c:pt idx="0">
                  <c:v>5.9201527288568319E-2</c:v>
                </c:pt>
                <c:pt idx="1">
                  <c:v>3.1644617134444476E-2</c:v>
                </c:pt>
                <c:pt idx="2">
                  <c:v>9.041319181269851E-2</c:v>
                </c:pt>
                <c:pt idx="3">
                  <c:v>0.11979747915182552</c:v>
                </c:pt>
                <c:pt idx="4">
                  <c:v>0.56332339689341537</c:v>
                </c:pt>
                <c:pt idx="5">
                  <c:v>6.7809893859523879E-2</c:v>
                </c:pt>
                <c:pt idx="6">
                  <c:v>5.650824488293657E-2</c:v>
                </c:pt>
                <c:pt idx="7">
                  <c:v>1.1301648976587314E-2</c:v>
                </c:pt>
              </c:numCache>
            </c:numRef>
          </c:val>
        </c:ser>
        <c:ser>
          <c:idx val="1"/>
          <c:order val="1"/>
          <c:tx>
            <c:strRef>
              <c:f>'2018年3月'!$C$140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'2018年3月'!$A$141:$A$148</c:f>
              <c:strCache>
                <c:ptCount val="8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电力、热力、燃气及水生产和供应业</c:v>
                </c:pt>
                <c:pt idx="7">
                  <c:v>科学研究、技术服务和地质勘查业</c:v>
                </c:pt>
              </c:strCache>
            </c:strRef>
          </c:cat>
          <c:val>
            <c:numRef>
              <c:f>'2018年3月'!$C$141:$C$148</c:f>
              <c:numCache>
                <c:formatCode>0.00%</c:formatCode>
                <c:ptCount val="8"/>
                <c:pt idx="0">
                  <c:v>8.1871187822076461E-2</c:v>
                </c:pt>
                <c:pt idx="1">
                  <c:v>4.3762087088453833E-2</c:v>
                </c:pt>
                <c:pt idx="2">
                  <c:v>0.12503453453843952</c:v>
                </c:pt>
                <c:pt idx="3">
                  <c:v>7.1894857359602729E-2</c:v>
                </c:pt>
                <c:pt idx="4">
                  <c:v>0.58366143228759781</c:v>
                </c:pt>
                <c:pt idx="5">
                  <c:v>9.3775900903829632E-2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'2018年3月'!$D$140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'2018年3月'!$A$141:$A$148</c:f>
              <c:strCache>
                <c:ptCount val="8"/>
                <c:pt idx="0">
                  <c:v>房地产业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水利、环境和公共设施管理业</c:v>
                </c:pt>
                <c:pt idx="4">
                  <c:v>租赁和商务服务业</c:v>
                </c:pt>
                <c:pt idx="5">
                  <c:v>综合</c:v>
                </c:pt>
                <c:pt idx="6">
                  <c:v>电力、热力、燃气及水生产和供应业</c:v>
                </c:pt>
                <c:pt idx="7">
                  <c:v>科学研究、技术服务和地质勘查业</c:v>
                </c:pt>
              </c:strCache>
            </c:strRef>
          </c:cat>
          <c:val>
            <c:numRef>
              <c:f>'2018年3月'!$D$141:$D$148</c:f>
              <c:numCache>
                <c:formatCode>0.00%</c:formatCode>
                <c:ptCount val="8"/>
                <c:pt idx="0">
                  <c:v>-2.2669660533508142E-2</c:v>
                </c:pt>
                <c:pt idx="1">
                  <c:v>-1.2117469954009356E-2</c:v>
                </c:pt>
                <c:pt idx="2">
                  <c:v>-3.4621342725741008E-2</c:v>
                </c:pt>
                <c:pt idx="3">
                  <c:v>4.7902621792222794E-2</c:v>
                </c:pt>
                <c:pt idx="4">
                  <c:v>-2.0338035394182441E-2</c:v>
                </c:pt>
                <c:pt idx="5">
                  <c:v>-2.5966007044305753E-2</c:v>
                </c:pt>
                <c:pt idx="6">
                  <c:v>5.650824488293657E-2</c:v>
                </c:pt>
                <c:pt idx="7">
                  <c:v>1.1301648976587314E-2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68832"/>
        <c:axId val="87370368"/>
      </c:barChart>
      <c:catAx>
        <c:axId val="87368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7370368"/>
        <c:crosses val="autoZero"/>
        <c:auto val="1"/>
        <c:lblAlgn val="ctr"/>
        <c:lblOffset val="100"/>
        <c:noMultiLvlLbl val="0"/>
      </c:catAx>
      <c:valAx>
        <c:axId val="87370368"/>
        <c:scaling>
          <c:orientation val="minMax"/>
          <c:max val="0.60000000000000009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8736883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0390067362"/>
          <c:y val="7.1841795637614281E-2"/>
          <c:w val="0.15070913949963904"/>
          <c:h val="0.2494194949769209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5</cp:revision>
  <dcterms:created xsi:type="dcterms:W3CDTF">2018-04-06T03:26:00Z</dcterms:created>
  <dcterms:modified xsi:type="dcterms:W3CDTF">2018-04-06T03:27:00Z</dcterms:modified>
</cp:coreProperties>
</file>